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黑体" w:eastAsia="黑体"/>
          <w:sz w:val="21"/>
          <w:szCs w:val="21"/>
        </w:rPr>
      </w:pPr>
      <w:r>
        <w:rPr>
          <w:rFonts w:hint="eastAsia" w:ascii="黑体" w:eastAsia="黑体" w:cs="黑体"/>
          <w:sz w:val="21"/>
          <w:szCs w:val="21"/>
        </w:rPr>
        <w:t>江苏省疾病预防控制中心伦理审查委员会</w:t>
      </w:r>
    </w:p>
    <w:p>
      <w:pPr>
        <w:adjustRightInd w:val="0"/>
        <w:jc w:val="center"/>
        <w:rPr>
          <w:kern w:val="0"/>
        </w:rPr>
      </w:pPr>
      <w:r>
        <w:rPr>
          <w:kern w:val="0"/>
        </w:rPr>
        <w:t>Ethics Committee of Jiangsu Provincial Center for Disease Prevention and Control</w:t>
      </w:r>
    </w:p>
    <w:p>
      <w:pPr>
        <w:adjustRightInd w:val="0"/>
        <w:jc w:val="center"/>
        <w:rPr>
          <w:kern w:val="0"/>
        </w:rPr>
      </w:pPr>
    </w:p>
    <w:p>
      <w:pPr>
        <w:jc w:val="center"/>
        <w:rPr>
          <w:rFonts w:eastAsia="黑体"/>
          <w:sz w:val="28"/>
          <w:szCs w:val="28"/>
        </w:rPr>
      </w:pPr>
      <w:r>
        <w:rPr>
          <w:rFonts w:hint="eastAsia" w:eastAsia="黑体" w:cs="黑体"/>
          <w:sz w:val="28"/>
          <w:szCs w:val="28"/>
        </w:rPr>
        <w:t>暂停</w:t>
      </w:r>
      <w:r>
        <w:rPr>
          <w:rFonts w:eastAsia="黑体"/>
          <w:sz w:val="28"/>
          <w:szCs w:val="28"/>
        </w:rPr>
        <w:t>/</w:t>
      </w:r>
      <w:r>
        <w:rPr>
          <w:rFonts w:hint="eastAsia" w:eastAsia="黑体" w:cs="黑体"/>
          <w:sz w:val="28"/>
          <w:szCs w:val="28"/>
        </w:rPr>
        <w:t>终止研究报告</w:t>
      </w:r>
    </w:p>
    <w:p>
      <w:pPr>
        <w:adjustRightInd w:val="0"/>
        <w:jc w:val="center"/>
        <w:rPr>
          <w:color w:val="000000"/>
          <w:kern w:val="0"/>
          <w:sz w:val="24"/>
          <w:szCs w:val="24"/>
        </w:rPr>
      </w:pPr>
      <w:bookmarkStart w:id="0" w:name="_Toc32381693"/>
      <w:bookmarkStart w:id="1" w:name="_Toc40099604"/>
      <w:r>
        <w:rPr>
          <w:color w:val="000000"/>
          <w:kern w:val="0"/>
          <w:sz w:val="24"/>
          <w:szCs w:val="24"/>
        </w:rPr>
        <w:t xml:space="preserve">Study Suspension/Termination </w:t>
      </w:r>
      <w:bookmarkEnd w:id="0"/>
      <w:bookmarkEnd w:id="1"/>
      <w:r>
        <w:rPr>
          <w:sz w:val="24"/>
          <w:szCs w:val="24"/>
        </w:rPr>
        <w:t>Report</w:t>
      </w:r>
      <w:r>
        <w:rPr>
          <w:color w:val="000000"/>
          <w:kern w:val="0"/>
          <w:sz w:val="24"/>
          <w:szCs w:val="24"/>
        </w:rPr>
        <w:t xml:space="preserve"> Form</w:t>
      </w:r>
    </w:p>
    <w:p/>
    <w:tbl>
      <w:tblPr>
        <w:tblW w:w="8528" w:type="dxa"/>
        <w:jc w:val="center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2132"/>
        <w:gridCol w:w="2132"/>
        <w:gridCol w:w="2132"/>
        <w:gridCol w:w="21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132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项目名称</w:t>
            </w:r>
          </w:p>
        </w:tc>
        <w:tc>
          <w:tcPr>
            <w:tcW w:w="6396" w:type="dxa"/>
            <w:gridSpan w:val="3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2132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项目来源</w:t>
            </w:r>
          </w:p>
        </w:tc>
        <w:tc>
          <w:tcPr>
            <w:tcW w:w="6396" w:type="dxa"/>
            <w:gridSpan w:val="3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132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方案版本号</w:t>
            </w:r>
          </w:p>
        </w:tc>
        <w:tc>
          <w:tcPr>
            <w:tcW w:w="2132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132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方案版本日期</w:t>
            </w:r>
          </w:p>
        </w:tc>
        <w:tc>
          <w:tcPr>
            <w:tcW w:w="2132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2132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知情同意书版本号</w:t>
            </w:r>
          </w:p>
        </w:tc>
        <w:tc>
          <w:tcPr>
            <w:tcW w:w="2132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132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知情同意书版本日期</w:t>
            </w:r>
          </w:p>
        </w:tc>
        <w:tc>
          <w:tcPr>
            <w:tcW w:w="2132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132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伦理审查批件号</w:t>
            </w:r>
          </w:p>
        </w:tc>
        <w:tc>
          <w:tcPr>
            <w:tcW w:w="2132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132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主要研究者</w:t>
            </w:r>
          </w:p>
        </w:tc>
        <w:tc>
          <w:tcPr>
            <w:tcW w:w="2132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</w:tbl>
    <w:p/>
    <w:p>
      <w:pPr>
        <w:pStyle w:val="5"/>
        <w:spacing w:line="440" w:lineRule="exact"/>
        <w:jc w:val="both"/>
        <w:rPr>
          <w:b w:val="0"/>
          <w:bCs w:val="0"/>
        </w:rPr>
      </w:pPr>
      <w:r>
        <w:rPr>
          <w:rFonts w:hint="eastAsia" w:eastAsia="黑体" w:cs="黑体"/>
          <w:b w:val="0"/>
          <w:bCs w:val="0"/>
        </w:rPr>
        <w:t>一、一般信息</w:t>
      </w:r>
    </w:p>
    <w:p>
      <w:pPr>
        <w:numPr>
          <w:ilvl w:val="0"/>
          <w:numId w:val="1"/>
        </w:numPr>
        <w:spacing w:line="440" w:lineRule="exact"/>
        <w:rPr>
          <w:rFonts w:ascii="楷体_GB2312" w:eastAsia="楷体_GB2312"/>
          <w:b/>
          <w:bCs/>
        </w:rPr>
      </w:pPr>
      <w:r>
        <w:rPr>
          <w:rFonts w:hint="eastAsia" w:ascii="宋体" w:hAnsi="宋体" w:cs="宋体"/>
          <w:kern w:val="0"/>
        </w:rPr>
        <w:t>研究开始日期：</w:t>
      </w:r>
    </w:p>
    <w:p>
      <w:pPr>
        <w:numPr>
          <w:ilvl w:val="0"/>
          <w:numId w:val="1"/>
        </w:numPr>
        <w:spacing w:line="440" w:lineRule="exact"/>
        <w:rPr>
          <w:rFonts w:eastAsia="黑体"/>
        </w:rPr>
      </w:pPr>
      <w:r>
        <w:rPr>
          <w:rFonts w:hint="eastAsia" w:ascii="宋体" w:hAnsi="宋体" w:cs="宋体"/>
          <w:kern w:val="0"/>
        </w:rPr>
        <w:t>研究暂停</w:t>
      </w:r>
      <w:r>
        <w:rPr>
          <w:rFonts w:ascii="宋体" w:hAnsi="宋体" w:cs="宋体"/>
          <w:kern w:val="0"/>
        </w:rPr>
        <w:t>/</w:t>
      </w:r>
      <w:r>
        <w:rPr>
          <w:rFonts w:hint="eastAsia" w:ascii="宋体" w:hAnsi="宋体" w:cs="宋体"/>
          <w:kern w:val="0"/>
        </w:rPr>
        <w:t>终止日期</w:t>
      </w:r>
      <w:r>
        <w:rPr>
          <w:rFonts w:hint="eastAsia" w:ascii="楷体_GB2312" w:hAnsi="宋体" w:eastAsia="楷体_GB2312" w:cs="楷体_GB2312"/>
        </w:rPr>
        <w:t>：</w:t>
      </w:r>
    </w:p>
    <w:p>
      <w:pPr>
        <w:spacing w:line="440" w:lineRule="exact"/>
        <w:rPr>
          <w:rFonts w:eastAsia="黑体"/>
        </w:rPr>
      </w:pPr>
      <w:r>
        <w:rPr>
          <w:rFonts w:hint="eastAsia" w:eastAsia="黑体" w:cs="黑体"/>
        </w:rPr>
        <w:t>二、受试者信息</w:t>
      </w:r>
    </w:p>
    <w:p>
      <w:pPr>
        <w:numPr>
          <w:ilvl w:val="0"/>
          <w:numId w:val="1"/>
        </w:numPr>
        <w:spacing w:line="440" w:lineRule="exact"/>
        <w:rPr>
          <w:b/>
          <w:bCs/>
        </w:rPr>
      </w:pPr>
      <w:r>
        <w:rPr>
          <w:rFonts w:hint="eastAsia" w:cs="宋体"/>
        </w:rPr>
        <w:t>合同研究总例数：</w:t>
      </w:r>
    </w:p>
    <w:p>
      <w:pPr>
        <w:numPr>
          <w:ilvl w:val="0"/>
          <w:numId w:val="1"/>
        </w:numPr>
        <w:spacing w:line="440" w:lineRule="exact"/>
        <w:rPr>
          <w:b/>
          <w:bCs/>
        </w:rPr>
      </w:pPr>
      <w:r>
        <w:rPr>
          <w:rFonts w:hint="eastAsia" w:cs="宋体"/>
        </w:rPr>
        <w:t>已入组例数：</w:t>
      </w:r>
    </w:p>
    <w:p>
      <w:pPr>
        <w:numPr>
          <w:ilvl w:val="0"/>
          <w:numId w:val="1"/>
        </w:numPr>
        <w:spacing w:line="440" w:lineRule="exact"/>
        <w:rPr>
          <w:b/>
          <w:bCs/>
        </w:rPr>
      </w:pPr>
      <w:r>
        <w:rPr>
          <w:rFonts w:hint="eastAsia" w:cs="宋体"/>
        </w:rPr>
        <w:t>完成观察例数：</w:t>
      </w:r>
    </w:p>
    <w:p>
      <w:pPr>
        <w:numPr>
          <w:ilvl w:val="0"/>
          <w:numId w:val="1"/>
        </w:numPr>
        <w:spacing w:line="440" w:lineRule="exact"/>
        <w:rPr>
          <w:b/>
          <w:bCs/>
        </w:rPr>
      </w:pPr>
      <w:r>
        <w:rPr>
          <w:rFonts w:hint="eastAsia" w:cs="宋体"/>
        </w:rPr>
        <w:t>提前退出例数：</w:t>
      </w:r>
    </w:p>
    <w:p>
      <w:pPr>
        <w:numPr>
          <w:ilvl w:val="0"/>
          <w:numId w:val="1"/>
        </w:numPr>
        <w:spacing w:line="440" w:lineRule="exact"/>
      </w:pPr>
      <w:r>
        <w:rPr>
          <w:rFonts w:hint="eastAsia" w:cs="宋体"/>
        </w:rPr>
        <w:t>严重不良事件例数：</w:t>
      </w:r>
    </w:p>
    <w:p>
      <w:pPr>
        <w:numPr>
          <w:ilvl w:val="0"/>
          <w:numId w:val="1"/>
        </w:numPr>
        <w:spacing w:line="440" w:lineRule="exact"/>
        <w:rPr>
          <w:b/>
          <w:bCs/>
        </w:rPr>
      </w:pPr>
      <w:r>
        <w:rPr>
          <w:rFonts w:hint="eastAsia" w:cs="宋体"/>
        </w:rPr>
        <w:t>已报告的严重不良事件例数：</w:t>
      </w:r>
    </w:p>
    <w:p>
      <w:pPr>
        <w:spacing w:line="440" w:lineRule="exact"/>
        <w:rPr>
          <w:rFonts w:ascii="黑体" w:eastAsia="黑体"/>
        </w:rPr>
      </w:pPr>
      <w:r>
        <w:rPr>
          <w:rFonts w:hint="eastAsia" w:eastAsia="黑体" w:cs="黑体"/>
        </w:rPr>
        <w:t>三、暂停</w:t>
      </w:r>
      <w:r>
        <w:rPr>
          <w:rFonts w:eastAsia="黑体"/>
        </w:rPr>
        <w:t>/</w:t>
      </w:r>
      <w:r>
        <w:rPr>
          <w:rFonts w:hint="eastAsia" w:eastAsia="黑体" w:cs="黑体"/>
        </w:rPr>
        <w:t>终止研究的原因</w:t>
      </w:r>
    </w:p>
    <w:p>
      <w:pPr>
        <w:spacing w:line="440" w:lineRule="exact"/>
        <w:rPr>
          <w:rFonts w:ascii="楷体_GB2312" w:eastAsia="楷体_GB2312"/>
        </w:rPr>
      </w:pPr>
    </w:p>
    <w:p>
      <w:pPr>
        <w:spacing w:line="440" w:lineRule="exact"/>
        <w:rPr>
          <w:b/>
          <w:bCs/>
        </w:rPr>
      </w:pPr>
      <w:r>
        <w:rPr>
          <w:rFonts w:hint="eastAsia" w:eastAsia="黑体" w:cs="黑体"/>
        </w:rPr>
        <w:t>四、有序终止研究的程序</w:t>
      </w:r>
    </w:p>
    <w:p>
      <w:pPr>
        <w:numPr>
          <w:ilvl w:val="0"/>
          <w:numId w:val="1"/>
        </w:numPr>
        <w:spacing w:line="440" w:lineRule="exact"/>
      </w:pPr>
      <w:r>
        <w:rPr>
          <w:rFonts w:hint="eastAsia" w:cs="宋体"/>
        </w:rPr>
        <w:t>是否要求召回已完成研究的受试者进行随访</w:t>
      </w:r>
      <w:r>
        <w:rPr>
          <w:rFonts w:hint="eastAsia" w:ascii="楷体_GB2312" w:eastAsia="楷体_GB2312" w:cs="楷体_GB2312"/>
          <w:kern w:val="0"/>
        </w:rPr>
        <w:t>：□是，□否</w:t>
      </w:r>
    </w:p>
    <w:p>
      <w:pPr>
        <w:numPr>
          <w:ilvl w:val="0"/>
          <w:numId w:val="1"/>
        </w:numPr>
        <w:spacing w:line="440" w:lineRule="exact"/>
      </w:pPr>
      <w:r>
        <w:rPr>
          <w:rFonts w:hint="eastAsia" w:cs="宋体"/>
        </w:rPr>
        <w:t>是否通知在研的受试者，研究已经提前终止</w:t>
      </w:r>
      <w:r>
        <w:rPr>
          <w:rFonts w:hint="eastAsia" w:ascii="楷体_GB2312" w:eastAsia="楷体_GB2312" w:cs="楷体_GB2312"/>
          <w:kern w:val="0"/>
        </w:rPr>
        <w:t>：□是，□否→请说明：</w:t>
      </w:r>
    </w:p>
    <w:p>
      <w:pPr>
        <w:numPr>
          <w:ilvl w:val="0"/>
          <w:numId w:val="1"/>
        </w:numPr>
        <w:spacing w:line="440" w:lineRule="exact"/>
      </w:pPr>
      <w:r>
        <w:rPr>
          <w:rFonts w:hint="eastAsia" w:cs="宋体"/>
        </w:rPr>
        <w:t>在研受试者是否提前终止研究</w:t>
      </w:r>
      <w:r>
        <w:rPr>
          <w:rFonts w:hint="eastAsia" w:ascii="楷体_GB2312" w:eastAsia="楷体_GB2312" w:cs="楷体_GB2312"/>
          <w:kern w:val="0"/>
        </w:rPr>
        <w:t>：□是，□否→请说明：</w:t>
      </w:r>
    </w:p>
    <w:p>
      <w:pPr>
        <w:numPr>
          <w:ilvl w:val="0"/>
          <w:numId w:val="1"/>
        </w:numPr>
        <w:spacing w:line="440" w:lineRule="exact"/>
        <w:rPr>
          <w:sz w:val="24"/>
          <w:szCs w:val="24"/>
        </w:rPr>
      </w:pPr>
      <w:r>
        <w:rPr>
          <w:rFonts w:hint="eastAsia" w:cs="宋体"/>
        </w:rPr>
        <w:t>提前终止研究受试者的后续随访安排：</w:t>
      </w:r>
      <w:r>
        <w:rPr>
          <w:rFonts w:hint="eastAsia" w:ascii="楷体_GB2312" w:eastAsia="楷体_GB2312" w:cs="楷体_GB2312"/>
          <w:kern w:val="0"/>
        </w:rPr>
        <w:t>□是，□否</w:t>
      </w:r>
      <w:r>
        <w:rPr>
          <w:rFonts w:ascii="楷体_GB2312" w:eastAsia="楷体_GB2312" w:cs="楷体_GB2312"/>
          <w:kern w:val="0"/>
        </w:rPr>
        <w:t xml:space="preserve"> </w:t>
      </w:r>
      <w:r>
        <w:rPr>
          <w:rFonts w:hint="eastAsia" w:ascii="楷体_GB2312" w:eastAsia="楷体_GB2312" w:cs="楷体_GB2312"/>
        </w:rPr>
        <w:t>没有针对性的安排随访检查→请说明：</w:t>
      </w:r>
    </w:p>
    <w:tbl>
      <w:tblPr>
        <w:tblW w:w="8522" w:type="dxa"/>
        <w:jc w:val="center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2131"/>
        <w:gridCol w:w="2130"/>
        <w:gridCol w:w="2131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2131" w:type="dxa"/>
            <w:tcBorders>
              <w:tl2br w:val="nil"/>
              <w:tr2bl w:val="nil"/>
            </w:tcBorders>
            <w:vAlign w:val="top"/>
          </w:tcPr>
          <w:p>
            <w:pPr>
              <w:spacing w:line="440" w:lineRule="exact"/>
              <w:jc w:val="center"/>
            </w:pPr>
            <w:r>
              <w:rPr>
                <w:rFonts w:hint="eastAsia" w:hAnsi="宋体" w:cs="宋体"/>
              </w:rPr>
              <w:t>申请人签字</w:t>
            </w:r>
          </w:p>
        </w:tc>
        <w:tc>
          <w:tcPr>
            <w:tcW w:w="2130" w:type="dxa"/>
            <w:tcBorders>
              <w:tl2br w:val="nil"/>
              <w:tr2bl w:val="nil"/>
            </w:tcBorders>
            <w:vAlign w:val="top"/>
          </w:tcPr>
          <w:p>
            <w:pPr>
              <w:spacing w:line="440" w:lineRule="exact"/>
              <w:rPr>
                <w:rFonts w:ascii="楷体_GB2312" w:eastAsia="楷体_GB2312"/>
              </w:rPr>
            </w:pPr>
          </w:p>
        </w:tc>
        <w:tc>
          <w:tcPr>
            <w:tcW w:w="2131" w:type="dxa"/>
            <w:tcBorders>
              <w:tl2br w:val="nil"/>
              <w:tr2bl w:val="nil"/>
            </w:tcBorders>
            <w:vAlign w:val="top"/>
          </w:tcPr>
          <w:p>
            <w:pPr>
              <w:spacing w:line="440" w:lineRule="exact"/>
              <w:jc w:val="center"/>
            </w:pPr>
            <w:r>
              <w:rPr>
                <w:rFonts w:hint="eastAsia" w:hAnsi="宋体" w:cs="宋体"/>
              </w:rPr>
              <w:t>日期</w:t>
            </w:r>
          </w:p>
        </w:tc>
        <w:tc>
          <w:tcPr>
            <w:tcW w:w="2130" w:type="dxa"/>
            <w:tcBorders>
              <w:tl2br w:val="nil"/>
              <w:tr2bl w:val="nil"/>
            </w:tcBorders>
            <w:vAlign w:val="top"/>
          </w:tcPr>
          <w:p>
            <w:pPr>
              <w:spacing w:line="440" w:lineRule="exact"/>
              <w:rPr>
                <w:rFonts w:ascii="楷体_GB2312" w:eastAsia="楷体_GB2312"/>
              </w:rPr>
            </w:pPr>
          </w:p>
        </w:tc>
      </w:tr>
    </w:tbl>
    <w:p>
      <w:pPr>
        <w:spacing w:line="440" w:lineRule="exact"/>
      </w:pPr>
    </w:p>
    <w:sectPr>
      <w:headerReference r:id="rId4" w:type="default"/>
      <w:footerReference r:id="rId5" w:type="default"/>
      <w:pgSz w:w="11906" w:h="16838"/>
      <w:pgMar w:top="1440" w:right="1797" w:bottom="1440" w:left="1797" w:header="851" w:footer="992" w:gutter="0"/>
      <w:pg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gBorders>
      <w:cols w:space="720" w:num="1"/>
      <w:docGrid w:type="linesAndChars" w:linePitch="34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ngsana New">
    <w:altName w:val="Microsoft Sans Serif"/>
    <w:panose1 w:val="02020603050405020304"/>
    <w:charset w:val="DE"/>
    <w:family w:val="auto"/>
    <w:pitch w:val="default"/>
    <w:sig w:usb0="01000001" w:usb1="00000000" w:usb2="00000000" w:usb3="00000000" w:csb0="00010000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Microsoft Sans Serif">
    <w:panose1 w:val="020B0604020202020204"/>
    <w:charset w:val="00"/>
    <w:family w:val="auto"/>
    <w:pitch w:val="default"/>
    <w:sig w:usb0="61007BDF" w:usb1="80000000" w:usb2="00000008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jc w:val="center"/>
      <w:rPr>
        <w:sz w:val="21"/>
        <w:szCs w:val="21"/>
      </w:rPr>
    </w:pPr>
    <w:r>
      <w:rPr>
        <w:rFonts w:hint="eastAsia" w:cs="宋体"/>
      </w:rPr>
      <w:t>第</w:t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t xml:space="preserve"> </w:t>
    </w:r>
    <w:r>
      <w:rPr>
        <w:rFonts w:hint="eastAsia" w:cs="宋体"/>
      </w:rPr>
      <w:t>页</w:t>
    </w:r>
    <w:r>
      <w:t xml:space="preserve"> </w:t>
    </w:r>
    <w:r>
      <w:rPr>
        <w:rFonts w:hint="eastAsia" w:cs="宋体"/>
      </w:rPr>
      <w:t>共</w:t>
    </w:r>
    <w:r>
      <w:t xml:space="preserve"> 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  <w:r>
      <w:t xml:space="preserve"> </w:t>
    </w:r>
    <w:r>
      <w:rPr>
        <w:rFonts w:hint="eastAsia" w:cs="宋体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jc w:val="both"/>
    </w:pPr>
    <w:r>
      <w:rPr>
        <w:rFonts w:hint="eastAsia" w:cs="宋体"/>
      </w:rPr>
      <w:t>暂停</w:t>
    </w:r>
    <w:r>
      <w:t>/</w:t>
    </w:r>
    <w:r>
      <w:rPr>
        <w:rFonts w:hint="eastAsia" w:cs="宋体"/>
      </w:rPr>
      <w:t>终止研究报告</w:t>
    </w:r>
    <w:r>
      <w:t xml:space="preserve">                                                    </w:t>
    </w:r>
    <w:r>
      <w:rPr>
        <w:rFonts w:hint="eastAsia"/>
        <w:lang w:eastAsia="zh-CN"/>
      </w:rPr>
      <w:t>　</w:t>
    </w:r>
    <w:r>
      <w:t xml:space="preserve">   </w:t>
    </w:r>
    <w:bookmarkStart w:id="2" w:name="_GoBack"/>
    <w:r>
      <w:t xml:space="preserve">    </w:t>
    </w:r>
    <w:r>
      <w:rPr>
        <w:color w:val="auto"/>
      </w:rPr>
      <w:t>AF/SQ/LS07</w:t>
    </w:r>
    <w:r>
      <w:rPr>
        <w:rFonts w:hint="eastAsia"/>
        <w:color w:val="auto"/>
        <w:lang w:val="en-US" w:eastAsia="zh-CN"/>
      </w:rPr>
      <w:t>-</w:t>
    </w:r>
    <w:r>
      <w:rPr>
        <w:color w:val="auto"/>
      </w:rPr>
      <w:t>V0</w:t>
    </w:r>
    <w:r>
      <w:rPr>
        <w:rFonts w:hint="eastAsia"/>
        <w:color w:val="auto"/>
        <w:lang w:val="en-US" w:eastAsia="zh-CN"/>
      </w:rPr>
      <w:t>2</w:t>
    </w:r>
  </w:p>
  <w:bookmarkEnd w:id="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57500461">
    <w:nsid w:val="0963442D"/>
    <w:multiLevelType w:val="multilevel"/>
    <w:tmpl w:val="0963442D"/>
    <w:lvl w:ilvl="0" w:tentative="1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1" w:tentative="1">
      <w:start w:val="1"/>
      <w:numFmt w:val="bullet"/>
      <w:lvlText w:val="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5750046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74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nhideWhenUsed="0" w:uiPriority="99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99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nhideWhenUsed="0"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paragraph" w:styleId="2">
    <w:name w:val="Balloon Text"/>
    <w:basedOn w:val="1"/>
    <w:link w:val="10"/>
    <w:semiHidden/>
    <w:uiPriority w:val="99"/>
    <w:rPr>
      <w:sz w:val="18"/>
      <w:szCs w:val="18"/>
    </w:rPr>
  </w:style>
  <w:style w:type="paragraph" w:styleId="3">
    <w:name w:val="footer"/>
    <w:basedOn w:val="1"/>
    <w:link w:val="9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Subtitle"/>
    <w:basedOn w:val="1"/>
    <w:link w:val="7"/>
    <w:qFormat/>
    <w:uiPriority w:val="99"/>
    <w:pPr>
      <w:jc w:val="center"/>
    </w:pPr>
    <w:rPr>
      <w:b/>
      <w:bCs/>
    </w:rPr>
  </w:style>
  <w:style w:type="character" w:customStyle="1" w:styleId="7">
    <w:name w:val="Subtitle Char"/>
    <w:basedOn w:val="6"/>
    <w:link w:val="5"/>
    <w:locked/>
    <w:uiPriority w:val="99"/>
    <w:rPr>
      <w:rFonts w:eastAsia="宋体"/>
      <w:b/>
      <w:bCs/>
      <w:sz w:val="24"/>
      <w:szCs w:val="24"/>
    </w:rPr>
  </w:style>
  <w:style w:type="character" w:customStyle="1" w:styleId="8">
    <w:name w:val="Header Char"/>
    <w:basedOn w:val="6"/>
    <w:link w:val="4"/>
    <w:locked/>
    <w:uiPriority w:val="99"/>
    <w:rPr>
      <w:rFonts w:eastAsia="宋体"/>
      <w:sz w:val="18"/>
      <w:szCs w:val="18"/>
    </w:rPr>
  </w:style>
  <w:style w:type="character" w:customStyle="1" w:styleId="9">
    <w:name w:val="Footer Char"/>
    <w:basedOn w:val="6"/>
    <w:link w:val="3"/>
    <w:semiHidden/>
    <w:locked/>
    <w:uiPriority w:val="99"/>
    <w:rPr>
      <w:rFonts w:eastAsia="宋体"/>
      <w:sz w:val="18"/>
      <w:szCs w:val="18"/>
    </w:rPr>
  </w:style>
  <w:style w:type="character" w:customStyle="1" w:styleId="10">
    <w:name w:val="Balloon Text Char"/>
    <w:basedOn w:val="6"/>
    <w:link w:val="2"/>
    <w:semiHidden/>
    <w:locked/>
    <w:uiPriority w:val="99"/>
    <w:rPr>
      <w:rFonts w:eastAsia="宋体"/>
      <w:sz w:val="18"/>
      <w:szCs w:val="18"/>
    </w:rPr>
  </w:style>
  <w:style w:type="character" w:customStyle="1" w:styleId="11">
    <w:name w:val="short_text"/>
    <w:basedOn w:val="6"/>
    <w:uiPriority w:val="99"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2</Pages>
  <Words>71</Words>
  <Characters>409</Characters>
  <Lines>0</Lines>
  <Paragraphs>0</Paragraphs>
  <ScaleCrop>false</ScaleCrop>
  <LinksUpToDate>false</LinksUpToDate>
  <CharactersWithSpaces>0</CharactersWithSpaces>
  <Application>WPS Office 个人版_9.1.0.4468_{F1E327BC-269C-435d-A152-05C5408002CA}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2012-05-06T08:32:00Z</dcterms:created>
  <dc:creator>王民生</dc:creator>
  <cp:lastModifiedBy>Administrator</cp:lastModifiedBy>
  <cp:lastPrinted>2014-03-31T08:03:00Z</cp:lastPrinted>
  <dcterms:modified xsi:type="dcterms:W3CDTF">2014-04-01T01:55:22Z</dcterms:modified>
  <dc:title>江苏省疾病预防控制中心伦理审查委员会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